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Профпатология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Профпатология | Записей: 2</w:t>
      </w:r>
    </w:p>
    <w:p>
      <w:r>
        <w:br w:type="page"/>
      </w:r>
    </w:p>
    <w:p>
      <w:pPr>
        <w:pStyle w:val="Heading1"/>
      </w:pPr>
      <w:r>
        <w:t>Профпатология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Профпатология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44 лет, старший инженер-механик аварийной смены ЧАЭС был доставлен в медпункт предприятия.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сухость во рту, боли в эпигастральной области.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 4-м энергоблоке ЧАЭС произошёл взрыв. Здание энергоблока частично обрушилось. Выброс радиоактивности определялся взрывом (мелкодисперсное топливо, аэрозоли летучих радионуклидов), отдельные макроскопические фрагменты. При горении графита выбрасывались мелкодисперсные частицы топлива и продукты деления.</w:t>
      </w:r>
    </w:p>
    <w:p>
      <w:pPr>
        <w:spacing w:after="58"/>
      </w:pPr>
      <w:r>
        <w:rPr>
          <w:b w:val="0"/>
          <w:i w:val="0"/>
        </w:rPr>
        <w:t>В момент аварии находился в блоке №2 на расстоянии 300 м от реактора. Через 30-40 минут после взрыва был направлен в блок №4 для оказания помощи пострадавшим. В течение 1,5 часов находился в блоке №4, работал в бахилах и респираторе. На тело лилась вода, ноги промокли. После окончания работы вымылся и поехал домой. Обратил внимание на першение в горле, затруднение дыхания. Через 40 минут от момента начала облучения появилась тошнота, позднее - повторная рвота, головная боль.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не курит, алкоголь употребляет</w:t>
      </w:r>
    </w:p>
    <w:p>
      <w:pPr>
        <w:spacing w:after="58"/>
      </w:pPr>
      <w:r>
        <w:rPr>
          <w:b w:val="0"/>
          <w:i w:val="0"/>
        </w:rPr>
        <w:t>* старший инженер-механик ЧАЭС</w:t>
      </w:r>
    </w:p>
    <w:p>
      <w:pPr>
        <w:spacing w:after="58"/>
      </w:pPr>
      <w:r>
        <w:rPr>
          <w:b w:val="0"/>
          <w:i w:val="0"/>
        </w:rPr>
        <w:t>* аллергических реакций не было</w:t>
      </w:r>
    </w:p>
    <w:p>
      <w:pPr>
        <w:spacing w:after="58"/>
      </w:pPr>
      <w:r>
        <w:rPr>
          <w:b w:val="0"/>
          <w:i w:val="0"/>
        </w:rPr>
        <w:t>* отец здоров, мать перенесла ишемический инсульт.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через 36 часов отмечается разлитая гиперемия кожи лица и туловища, отек лица в области околоушных желез, сухость в полости рта. Слизистая глотки гиперемирована, легкая инъекция склер. Грудная клетка правильной формы. Перкуторно: легочный звук. Дыхание везикулярное хрипов нет. Границы сердца в норме. Тоны сердца чистые, звучные. Пульс 72 уд/мин. АД 125/80 мм рт. ст. Живот мягкий, безболезненный, печень и селезенка не увеличены. Периферических отеков нет.</w:t>
      </w:r>
    </w:p>
    <w:p>
      <w:pPr>
        <w:spacing w:after="58"/>
      </w:pPr>
      <w:r>
        <w:rPr>
          <w:b w:val="0"/>
          <w:i w:val="0"/>
        </w:rPr>
        <w:t>Общий анализ крови: гемоглобин – 15,2 г/л, эритроциты 4,5×1012/л, СОЭ – 5 мм/ч, тромбоциты 279×109/л, лейкоциты – 4,5×109/л, палочкоядерные нейтрофилы – 7,5%, сегментоядерные нейтрофилы – 70,5%, эозинофилы – 6%, базофилы – 3%, лимфоциты – 10% (0,45×109/л), моноциты – 2,5 %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физическим методам установления дозы облучения, которые можно использовать у этого больного,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изучение динамики гранулоцитов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индивидуальная дозиметрия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исследование хромосомных аберраций культуры лимфоцитов периферической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моделирование аварийной ситуации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исследование электронного парамагнитного резонанса (ЭПР) эмали зуба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расчетный метод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индивидуальная дозиметрия; моделирование аварийной ситуации; расчетный метод</w:t>
      </w:r>
    </w:p>
    <w:p>
      <w:pPr>
        <w:ind w:left="504"/>
      </w:pPr>
      <w:r>
        <w:rPr>
          <w:b w:val="0"/>
          <w:i/>
        </w:rPr>
        <w:t>Работники, контактирующие в производственных условиях с источниками ионизирующего излучения, снабжаются индивидуальными дозиметрами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Физическая дозиметрия при внешнем и внутреннем облучении в клинике лучевой болезни. Москва, ИздАТ, с. 31</w:t>
      </w:r>
    </w:p>
    <w:p>
      <w:pPr>
        <w:ind w:left="504"/>
      </w:pPr>
      <w:r>
        <w:rPr>
          <w:b w:val="0"/>
          <w:i/>
        </w:rPr>
        <w:t>На фантом тел человека накладываются двуслойные плоские дозиметры, и он облучается источником, по характеристикам сходным с участвовавшим в аварийной ситуации. По показаниям дозиметров рассчитываются дозы на все тело и отдельные его части.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Физическая дозиметрия при внешнем и внутреннем облучении в клинике лучевой болезни. Москва, ИздАТ, с. 31</w:t>
      </w:r>
    </w:p>
    <w:p>
      <w:pPr>
        <w:ind w:left="504"/>
      </w:pPr>
      <w:r>
        <w:rPr>
          <w:b w:val="0"/>
          <w:i/>
        </w:rPr>
        <w:t>Математические расчеты, основанные на данных, полученных при подробном опросе больного, позволяют оценить дозу лучевого воздействия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Физическая дозиметрия при внешнем и внутреннем облучении в клинике лучевой болезни. Москва, ИздАТ, с. 31</w:t>
      </w:r>
    </w:p>
    <w:p>
      <w:pPr>
        <w:pStyle w:val="Heading2"/>
      </w:pPr>
      <w:r>
        <w:t>3. Результаты физических методов обследования</w:t>
      </w:r>
    </w:p>
    <w:p>
      <w:pPr>
        <w:pStyle w:val="Heading3"/>
      </w:pPr>
      <w:r>
        <w:t>3.1. Индивидуальная дозиметрия</w:t>
      </w:r>
    </w:p>
    <w:p>
      <w:pPr>
        <w:spacing w:after="58"/>
      </w:pPr>
      <w:r>
        <w:rPr>
          <w:b w:val="0"/>
          <w:i w:val="0"/>
        </w:rPr>
        <w:t>Индивидуальный дозиметр не был рассчитан на фиксирование аварийной дозы облучения. Показания его недостоверны</w:t>
      </w:r>
    </w:p>
    <w:p>
      <w:pPr>
        <w:pStyle w:val="Heading3"/>
      </w:pPr>
      <w:r>
        <w:t>3.2. Расчетный способ</w:t>
      </w:r>
    </w:p>
    <w:p>
      <w:pPr>
        <w:spacing w:after="58"/>
      </w:pPr>
      <w:r>
        <w:rPr>
          <w:b w:val="0"/>
          <w:i w:val="0"/>
        </w:rPr>
        <w:t>Расчетным способом доза облучения была оценена как 5-6 Гр</w:t>
      </w:r>
    </w:p>
    <w:p>
      <w:pPr>
        <w:pStyle w:val="Heading3"/>
      </w:pPr>
      <w:r>
        <w:t>3.3. Моделирование аварийной ситуации</w:t>
      </w:r>
    </w:p>
    <w:p>
      <w:pPr>
        <w:spacing w:after="58"/>
      </w:pPr>
      <w:r>
        <w:rPr>
          <w:b w:val="0"/>
          <w:i w:val="0"/>
        </w:rPr>
        <w:t>Метод моделирования позволил оценить дозу облучения как 5-6 Гр</w:t>
      </w:r>
    </w:p>
    <w:p>
      <w:pPr>
        <w:pStyle w:val="Heading3"/>
      </w:pPr>
      <w:r>
        <w:t>3.4. Исследование хромосомных аберраций культуры лимфоцитов периферической крови</w:t>
      </w:r>
    </w:p>
    <w:p>
      <w:pPr>
        <w:spacing w:after="58"/>
      </w:pPr>
      <w:r>
        <w:rPr>
          <w:b w:val="0"/>
          <w:i w:val="0"/>
        </w:rPr>
        <w:t>Доза облучения оценена как 6,2 Гр</w:t>
      </w:r>
    </w:p>
    <w:p>
      <w:pPr>
        <w:pStyle w:val="Heading3"/>
      </w:pPr>
      <w:r>
        <w:t>3.6. Изучение динамики гранулоцитов</w:t>
      </w:r>
    </w:p>
    <w:p>
      <w:pPr>
        <w:spacing w:after="58"/>
      </w:pPr>
      <w:r>
        <w:rPr>
          <w:b w:val="0"/>
          <w:i w:val="0"/>
        </w:rPr>
        <w:t>На 30-е сутки количество лейкоцитов 3,8 х 109/л, нейтрофилов 2,1 х 109/л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выявления радиоактивного загрязнения кожных покровов этого больного должен быть использован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радиометрии кожных покровов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радиометрии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изучения динамики гранулоцитов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исследования ЭПР компактного вещества кости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радиометрии кожных покровов</w:t>
      </w:r>
    </w:p>
    <w:p>
      <w:pPr>
        <w:ind w:left="504"/>
      </w:pPr>
      <w:r>
        <w:rPr>
          <w:b w:val="0"/>
          <w:i/>
        </w:rPr>
        <w:t>С целью выявления радиоактивного загрязнения кожных покровов используются методы радиометрии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Физическая дозиметрия при внешнем и внутреннем облучении в клинике лучевой болезни. Москва, ИздАТ, с. 31см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Факт и доза внутреннего облучения у этого больного были установлены при помощи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изучения динамики гранулоцитов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изучения динамики количества лимфоцитов периферической крови на 2-7 день после облучения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исследования ЭПР одежды, в которой был пострадавший в момент облучения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исследования на спектрометре излучений человека (СИЧ)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исследования на спектрометре излучений человека (СИЧ)</w:t>
      </w:r>
    </w:p>
    <w:p>
      <w:pPr>
        <w:ind w:left="504"/>
      </w:pPr>
      <w:r>
        <w:rPr>
          <w:b w:val="0"/>
          <w:i/>
        </w:rPr>
        <w:t>С целью выявления инкорпорации радионуклидов используется исследование на СИЧ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Физическая дозиметрия при внешнем и внутреннем облучении в клинике лучевой болезни. Москва, ИздАТ, с. 31см</w:t>
      </w:r>
    </w:p>
    <w:p>
      <w:pPr>
        <w:pStyle w:val="Heading2"/>
      </w:pPr>
      <w:r>
        <w:t>6. Результаты обследования</w:t>
      </w:r>
    </w:p>
    <w:p>
      <w:pPr>
        <w:pStyle w:val="Heading3"/>
      </w:pPr>
      <w:r>
        <w:t>6.1. Исследования на спектрометре излучений человека (СИЧ)</w:t>
      </w:r>
    </w:p>
    <w:p>
      <w:pPr>
        <w:spacing w:after="58"/>
      </w:pPr>
      <w:r>
        <w:rPr>
          <w:b w:val="0"/>
          <w:i w:val="0"/>
        </w:rPr>
        <w:t>Цезий-137 – 200 Бк, стронций-90 – 35 Бк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Степень тяжести развивающейся острой лучевой болезни у этого больного могла быть предположена в скрытом периоде при количестве +________________+ в периферической крови спустя +________+ дней/дня после облучения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тромбоцитов; 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нейтрофилов; 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эритроцитов; 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лимфоцитов; 2-7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лимфоцитов; 2-7</w:t>
      </w:r>
    </w:p>
    <w:p>
      <w:pPr>
        <w:ind w:left="504"/>
      </w:pPr>
      <w:r>
        <w:rPr>
          <w:b w:val="0"/>
          <w:i/>
        </w:rPr>
        <w:t>Количество лимфоцитов в периферической крови через 2-7 дней после облучения является надежным показателем в биологической дозиметрии при оценки полученной дозы в скрытый период и позволяет составит прогноз степени тяжести ОЛБ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Москва, ИздАТ, с. 25</w:t>
      </w:r>
    </w:p>
    <w:p>
      <w:pPr>
        <w:pStyle w:val="Heading2"/>
      </w:pPr>
      <w:r>
        <w:t>8. Результаты обследования</w:t>
      </w:r>
    </w:p>
    <w:p>
      <w:pPr>
        <w:pStyle w:val="Heading3"/>
      </w:pPr>
      <w:r>
        <w:t>8.1. Лимфоциты, 2-7</w:t>
      </w:r>
    </w:p>
    <w:p>
      <w:pPr>
        <w:spacing w:after="58"/>
      </w:pPr>
      <w:r>
        <w:rPr>
          <w:b w:val="0"/>
          <w:i w:val="0"/>
        </w:rPr>
        <w:t>Количество лимфоцитов в периферической крови через 48 часов составило 0,5 х 109/л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клиническим признакам, позволяющим установить степень тяжести ОЛБ у пострадавшего в периоде первичной реакции,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появление симптомов орофарингиальной инфекции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появление тошноты, рвоты, жидкого стула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нейтрофильного лейкоцитоза на 30 сутки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появление носовых кровотечений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появление тошноты, рвоты, жидкого стула</w:t>
      </w:r>
    </w:p>
    <w:p>
      <w:pPr>
        <w:ind w:left="504"/>
      </w:pPr>
      <w:r>
        <w:rPr>
          <w:b w:val="0"/>
          <w:i/>
        </w:rPr>
        <w:t>Для тяжелой степени ОЛБ при относительно равномерном гамма-облучении характерно появление вскоре после облучения тошноты и многократной рвоты, длящихся до 2-х суток, а также появление жидкого стула</w:t>
        <w:br/>
        <w:br/>
        <w:t>Клинические рекомендации по оказанию медицинской помощи пострадавшим от воздействия ионизирующего излучения в чрезвычайных ситуациях. Москва 2013 г. с. 10-20</w:t>
      </w:r>
    </w:p>
    <w:p>
      <w:pPr>
        <w:pStyle w:val="Heading2"/>
      </w:pPr>
      <w:r>
        <w:t>10. Результаты обследования</w:t>
      </w:r>
    </w:p>
    <w:p>
      <w:pPr>
        <w:pStyle w:val="Heading3"/>
      </w:pPr>
      <w:r>
        <w:t>10.1. Появление тошноты, рвоты, жидкого стула</w:t>
      </w:r>
    </w:p>
    <w:p>
      <w:pPr>
        <w:spacing w:after="58"/>
      </w:pPr>
      <w:r>
        <w:rPr>
          <w:b w:val="0"/>
          <w:i w:val="0"/>
        </w:rPr>
        <w:t>Тошнота и повторная рвота появились через 40 минут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Диагноз острой лучевой болезни тяжелой степени, костномозгового синдрома тяжелой степени был установлен на основании появления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агранулоцитоза на 14 день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мукозита II степени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гиперемии кожных покровов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полной эпиляции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агранулоцитоза на 14 день</w:t>
      </w:r>
    </w:p>
    <w:p>
      <w:pPr>
        <w:ind w:left="504"/>
      </w:pPr>
      <w:r>
        <w:rPr>
          <w:b w:val="0"/>
          <w:i/>
        </w:rPr>
        <w:t>При костномозговом синдроме крайне тяжелой степени на 8-20 день развивается агранулоцитоз</w:t>
        <w:br/>
        <w:br/>
        <w:t>Клинические рекомендации по оказанию медицинской помощи пострадавшим от воздействия ионизирующего излучения в чрезвычайных ситуациях. Москва 2013 г. с. 10-20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Степень тяжести костномозгового синдрома при развитии тромбоцитопении на 11 день, критической тромбоцитопении на 13 день оценивается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тяжелая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средняя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крайне тяжелая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легкая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тяжелая</w:t>
      </w:r>
    </w:p>
    <w:p>
      <w:pPr>
        <w:ind w:left="504"/>
      </w:pPr>
      <w:r>
        <w:rPr>
          <w:b w:val="0"/>
          <w:i/>
        </w:rPr>
        <w:t>При костномозговом синдроме тяжелой степени тяжести на 10-16 день развивается тромбоцитопения</w:t>
        <w:br/>
        <w:br/>
        <w:t>Клинические рекомендации по оказанию медицинской помощи пострадавшим от воздействия ионизирующего излучения в чрезвычайных ситуациях. Москва 2013 г. с. 10-20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Пневмония у данного больного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осложнением термического ожога дыхательных путей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аспирационной пневмонией вследствие попадания в нижние дыхательные пути рвотных масс при первичной реакции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осложнением острой респираторной вирусной инфекции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инфекционным осложнением костномозгового синдрома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инфекционным осложнением костномозгового синдрома</w:t>
      </w:r>
    </w:p>
    <w:p>
      <w:pPr>
        <w:ind w:left="504"/>
      </w:pPr>
      <w:r>
        <w:rPr>
          <w:b w:val="0"/>
          <w:i/>
        </w:rPr>
        <w:t>При костномозговом синдроме тяжелой степени на 8-20 день развивается агранулоцитоз, что сопровождается формированием тяжелых инфекционных осложнений</w:t>
        <w:br/>
        <w:br/>
        <w:t>Клинические рекомендации по оказанию медицинской помощи пострадавшим от воздействия ионизирующего излучения в чрезвычайных ситуациях. Москва 2013 г. с. 10-20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профилактики рвоты в период первичной реакции этому больному следует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латран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 Б-190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йодид калия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ферроцин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латран</w:t>
      </w:r>
    </w:p>
    <w:p>
      <w:pPr>
        <w:ind w:left="504"/>
      </w:pPr>
      <w:r>
        <w:rPr>
          <w:b w:val="0"/>
          <w:i/>
        </w:rPr>
        <w:t>В период после относительно равномерного гамма-облучения и до наступления явлений тошноты и рвоты у данного пострадавшего рекомендуется назначение противорвотных препаратов и в частности препарата латран в количестве не менее 2 таблеток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5 Лечение и профилактика острой лучевой болезни от внешнего облучения 5.1.Лечение ОЛБ от равномерного и неравномерного облучения. Москва, ИздАТ, с. 108-128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профилактики инфекционных осложнений у данного больного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проведение физиотерапевтического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назначение радиопротекторов, проведение заместительной гемотерапии и назначение противоаллергических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помещение больного в асептические условия, энтеральная стерилизация, назначение антибиотиков широкого спектра 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динамическое наблюдение и санаторно-курортное лечение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помещение больного в асептические условия, энтеральная стерилизация, назначение антибиотиков широкого спектра действия</w:t>
      </w:r>
    </w:p>
    <w:p>
      <w:pPr>
        <w:ind w:left="504"/>
      </w:pPr>
      <w:r>
        <w:rPr>
          <w:b w:val="0"/>
          <w:i/>
        </w:rPr>
        <w:t>Для профилактики инфекционных осложнений при костномозговом синдроме тяжелой степени во избежание риска инфицирования больной помещается в асептические условия, проводится энтеральная стерилизация, профилактическое назначение антибиотиков широкого спектра действия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5 Лечение и профилактика острой лучевой болезни от внешнего облучения 5.1.Лечение ОЛБ от равномерного и неравномерного облучения. Москва, ИздАТ, с. 108-128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профилактики тромбоцитопенического кровотечения у данного пострадавшего при достижении критической тромбоцитопении (25,0 х 109/л) проводится переливание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свежезамороженной плазмы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тромбоконцентрата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цельной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эритроцитной взвеси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тромбоконцентрата</w:t>
      </w:r>
    </w:p>
    <w:p>
      <w:pPr>
        <w:ind w:left="504"/>
      </w:pPr>
      <w:r>
        <w:rPr>
          <w:b w:val="0"/>
          <w:i/>
        </w:rPr>
        <w:t>Снижение количества тромбоцитов в периферической крови до 25,0 х 109/л сопровождается массивными кровотечениями, для остановки которых необходимо переливание тромбомассы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5 Лечение и профилактика острой лучевой болезни от внешнего облучения 5.1.Лечение ОЛБ от равномерного и неравномерного облучения. Москва, ИздАТ, с. 108-128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Этот больной нуждается в «профилактическом режиме ведения больных» _____ уровня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нулевого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второго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третьего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первого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первого</w:t>
      </w:r>
    </w:p>
    <w:p>
      <w:pPr>
        <w:ind w:left="504"/>
      </w:pPr>
      <w:r>
        <w:rPr>
          <w:b w:val="0"/>
          <w:i/>
        </w:rPr>
        <w:t>Больные в периоде агранулоцитоза нуждаются в пребывании в условиях асептического режима. Пребывание в условиях первого уровня профилактического режима ведения больных показано для больных острой лучевой болезнью тяжелой – крайне тяжелой степени</w:t>
        <w:br/>
        <w:br/>
        <w:t>Реагирование медицинских учреждений МЧС России на радиологические аварийные ситуации (методические рекомендации). Рекомендации по организации санитарно-гигиенических и лечебно-профилактических мероприятий 9.1 рекомендации (порядок) оказания первой помощи пострадавшим в чрезвычайной ситуации радиационной природы СПб: ВЦЭРМ им. А.М. Никифорова 2016 г.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Профпатология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Профпатология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И., 29 лет, сушильщик аккумуляторных пластин в литейно-формовочном цехе аккумуляторного завода, направлен в центр профессиональной патологии для установления диагноза, лечения и решения экспертных вопросов.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общую слабость, повышенную утомляемость, сладковатый вкус во рту, боли в суставах конечностей, онемение их, периодические схваткообразные боли в животе, запор.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Направлен к профпатологу после периодического медицинского осмотра. Работает сушильщиком аккумуляторных пластин в литейно-формовочном цехе аккумуляторного завода в течение 4 лет. Концентрация свинца в воздухе рабочей зоны превышает ПДК в 30-50 и более раз. Считает себя больным последние 2 года.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курит 1 пачку в день, алкоголем не злоупотребляет</w:t>
      </w:r>
    </w:p>
    <w:p>
      <w:pPr>
        <w:spacing w:after="58"/>
      </w:pPr>
      <w:r>
        <w:rPr>
          <w:b w:val="0"/>
          <w:i w:val="0"/>
        </w:rPr>
        <w:t>* аллергических реакций не было</w:t>
      </w:r>
    </w:p>
    <w:p>
      <w:pPr>
        <w:spacing w:after="58"/>
      </w:pPr>
      <w:r>
        <w:rPr>
          <w:b w:val="0"/>
          <w:i w:val="0"/>
        </w:rPr>
        <w:t>* отец здоров, мать здорова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180 см, масса тела 90 кг. Кожа бледноватой окраски, влажная, дермографизм ярко-красный, стойкий, отмечается гиперестезия на верхних конечностях по типу "перчаток". Тоны сердца приглушены. ЧСС 60 уд/мин. АД 120/80 мм рт.ст. В легких везикулярное дыхание. Язык чистый, влажный, живот правильной формы, активно участвует в акте дыхания, мягкий, безболезненный, пальпируется спастическая сигма. Печень по краю реберной дуги. Отеков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верификации свинцовой интоксикации пациенту необходимо сделать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анализ волос на свинец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анализ ногтей на наличие свинца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клинический анализ крови и анализ мочи на содержание АЛК, копропорфирина, свинца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клинический анализ крови и анализ мочи на содержание АЛК, копропорфирина, свинца</w:t>
      </w:r>
    </w:p>
    <w:p>
      <w:pPr>
        <w:ind w:left="504"/>
      </w:pPr>
      <w:r>
        <w:rPr>
          <w:b w:val="0"/>
          <w:i/>
        </w:rPr>
        <w:t>Известно также, что свинец оказывает непосредственное действие на эритроциты. Нарушая морфофункциональные структуры эритробластов и зрелых форм, свинец снижает жизнеспособность эритроцитов, что сокращает продолжительность их жизни и ускоряет гибель. Это вызывает активацию эритропоэза, выражающуюся в ретикулоцитозе и увеличении количества эритроцитов с базофильной зернистостью.</w:t>
        <w:br/>
        <w:br/>
        <w:t>Выраженная форма характеризуется развитием анемического синдрома, «свинцовой» колики, значительными расстройствами нервной системы (выраженные формы астенического, астеновегетативного синдромов, полинейропатии или, редко, энцефалопатии), признаками токсического поражения печени (нарушение функциональных проб).</w:t>
        <w:br/>
        <w:br/>
        <w:t>Профессиональные болезни. Глава 2. Интоксикации свинцом и его соединениями [Электронный ресурс] / под ред. В.Г. Артамоновоцй, Н. А. Мухина - М. : ГЭОТАР-Медиа, 2004.</w:t>
        <w:br/>
        <w:br/>
      </w:r>
      <w:hyperlink r:id="rId9">
        <w:r>
          <w:rPr>
            <w:color w:val="0F766E"/>
            <w:u w:val="single"/>
          </w:rPr>
          <w:t>https://www.booksmed.com/terapiya/96-professionalnye-bolezni-artamonova-muxin.html</w:t>
        </w:r>
      </w:hyperlink>
      <w:r>
        <w:rPr>
          <w:b w:val="0"/>
          <w:i/>
        </w:rPr>
        <w:br/>
        <w:br/>
        <w:t xml:space="preserve"> a| *Степень  выраженности интоксикации    свинцом* a| *АЛК мочи*</w:t>
        <w:br/>
        <w:br/>
        <w:t>*мкг/г       креатинина* a| КП мочи</w:t>
        <w:br/>
        <w:br/>
        <w:t>*мг/г креатинина* a| *Свинец в  моче мкг/л*</w:t>
        <w:br/>
        <w:br/>
        <w:t xml:space="preserve"> a| Начальная a|</w:t>
        <w:br/>
        <w:br/>
        <w:t xml:space="preserve"> a|</w:t>
        <w:br/>
        <w:br/>
        <w:t xml:space="preserve"> a|</w:t>
        <w:br/>
        <w:br/>
        <w:t xml:space="preserve"> a| Форма a| До 15 a| До 300 a| До 100</w:t>
        <w:br/>
        <w:br/>
        <w:t xml:space="preserve"> a| Легкая a|</w:t>
        <w:br/>
        <w:br/>
        <w:t xml:space="preserve"> a|</w:t>
        <w:br/>
        <w:br/>
        <w:t xml:space="preserve"> a|</w:t>
        <w:br/>
        <w:br/>
        <w:t xml:space="preserve"> a| Форма a| До 25 a| До 500 a| До 150</w:t>
        <w:br/>
        <w:br/>
        <w:t xml:space="preserve"> a| Выраженная форма a| Более 25 a| Более 500 a| Более 150</w:t>
        <w:br/>
        <w:br/>
        <w:t xml:space="preserve"> a| Контроль</w:t>
        <w:br/>
        <w:br/>
        <w:t>[ (х,±1,5а) a| 0,23 - 3,2 a| 3,4 - 68,7 a| До 40</w:t>
        <w:br/>
        <w:br/>
        <w:t>Изучение состояния порфиринового обмена при воздействии свинца позволило уточнить его роль в развитии «свинцовой» анемии. Было установлено, что свинец угнетает активность ферментов, участвующих в биосинтезе гема, в частности дегидратазы δ-аминолевулиновой кислоты и гемсинтетазы, блокируя их сульфгидрильные группы. Вследствие этого происходит увеличение содержания δ-аминолевулиновой кислоты и копропорфирина в моче и накопление в эритроцитах не использованных в синтезе гема протопорфирина и железа.</w:t>
        <w:br/>
        <w:br/>
        <w:t>При определении формы интоксикации необходимо учитывать, как сочетание, так и выраженность отдельных синдромов.</w:t>
        <w:br/>
        <w:br/>
        <w:t>Во время периодических медицинских осмотров могут быть выявлены рабочие, у которых повышено содержание δ-аминолевулиновой кислоты в моче при отсутствии сдвигов в других лабораторных показателях. Таких рабочих нужно в дальнейшем наблюдать более тщательно.</w:t>
        <w:br/>
        <w:br/>
        <w:t>Профессиональные болезни. Глава 2. Интоксикации свинцом и его соединениями [Электронный ресурс] / под ред. В.Г. Артамоновоцй, Н. А. Мухина - М. : ГЭОТАР-Медиа, 2004.</w:t>
        <w:br/>
        <w:br/>
      </w:r>
      <w:hyperlink r:id="rId9">
        <w:r>
          <w:rPr>
            <w:color w:val="0F766E"/>
            <w:u w:val="single"/>
          </w:rPr>
          <w:t>https://www.booksmed.com/terapiya/96-professionalnye-bolezni-artamonova-muxin.html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Клинический анализ крови и анализ мочи на содержание АЛК, копропорфирина, свинца</w:t>
      </w:r>
    </w:p>
    <w:p>
      <w:pPr>
        <w:spacing w:after="58"/>
      </w:pPr>
      <w:r>
        <w:rPr>
          <w:b w:val="0"/>
          <w:i w:val="0"/>
        </w:rPr>
        <w:t>Анализ мочи; содержание дельта-аминолевулиновой кислоты 50,2 мкмоль / г креатинина (норма до 19 мкмоль / г креатинин</w:t>
      </w:r>
    </w:p>
    <w:p>
      <w:pPr>
        <w:spacing w:after="58"/>
      </w:pPr>
      <w:r>
        <w:rPr>
          <w:b w:val="0"/>
          <w:i w:val="0"/>
        </w:rPr>
        <w:t>копропорфирины 2607 ммоль / г креатинина (норма до 122 мкмоль / г креатинина)</w:t>
      </w:r>
    </w:p>
    <w:p>
      <w:pPr>
        <w:spacing w:after="58"/>
      </w:pPr>
      <w:r>
        <w:rPr>
          <w:b w:val="0"/>
          <w:i w:val="0"/>
        </w:rPr>
        <w:t>содержание свинца в моче 12,05 мкм/л, (норма до 0,4 мкм/л)</w:t>
      </w:r>
    </w:p>
    <w:p>
      <w:pPr>
        <w:spacing w:after="58"/>
      </w:pPr>
      <w:r>
        <w:rPr>
          <w:b w:val="0"/>
          <w:i w:val="0"/>
        </w:rPr>
        <w:t>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*Параметр*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*Значения*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*Референсные значения*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100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130-170 г/л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3,2х1012/л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4,0-5,0х1012/л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 с базофильной зернистостью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170%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15%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5.7x109/л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4,0-9,0x109/л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51%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42-50%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Ретикулоциты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до 12%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240х109/л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180-320х109/л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СОЭ (скорость оседания эритроцитов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 мм/ч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3-10 мм/ч</w:t>
            </w:r>
          </w:p>
        </w:tc>
      </w:tr>
    </w:tbl>
    <w:p/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 подозрении на свинцовую интоксикацию для обследования периферической нервной системы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электронейромиографию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спирометрию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рентгенографию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электрокардиограмму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электронейромиографию</w:t>
      </w:r>
    </w:p>
    <w:p>
      <w:pPr>
        <w:ind w:left="504"/>
      </w:pPr>
      <w:r>
        <w:rPr>
          <w:b w:val="0"/>
          <w:i/>
        </w:rPr>
        <w:t>При нарушениях нервно-мышечной передачи. В нормальных условиях в месте контакта нервного волокна с мышцей имеется особая структура, ответственная за передачу нервного импульса (синапс). При поражении синапса импульс не сможет переходить с нерва на мышцу, в результате чего будут отмечаться характерные клинические проявления (мышечная слабость, нарушения произвольных движений и так далее). Сам нерв при этом будет функционировать нормально, то есть по нему импульсы будут проводиться с нормальной скоростью, что можно будет определить при стимуляционной ЭНМГ.</w:t>
        <w:br/>
        <w:br/>
        <w:t>Неврология. Национальное руководство. Краткое издание / под ред. Е. И. Гусева, А. Н. Коновалова, А. Б. Гехт. - М. : ГЭОТАРМедиа, 2018. - 688 с. - ISBN 978-5-9704-4405-4</w:t>
        <w:br/>
        <w:br/>
      </w:r>
      <w:hyperlink r:id="rId10">
        <w:r>
          <w:rPr>
            <w:color w:val="0F766E"/>
            <w:u w:val="single"/>
          </w:rPr>
          <w:t>https://vrachirf.ru/storage/7b/da/77/de/e9/76/4a/ad/4bd3-f6593c-6116cd.pdf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Электронейромиография</w:t>
      </w:r>
    </w:p>
    <w:p>
      <w:pPr>
        <w:spacing w:after="58"/>
      </w:pPr>
      <w:r>
        <w:rPr>
          <w:b w:val="0"/>
          <w:i w:val="0"/>
        </w:rPr>
        <w:t>*Стимуляционная ЭНМГ*</w:t>
      </w:r>
    </w:p>
    <w:p>
      <w:pPr>
        <w:spacing w:after="58"/>
      </w:pPr>
      <w:r>
        <w:rPr>
          <w:b w:val="0"/>
          <w:i w:val="0"/>
        </w:rPr>
        <w:t>1.</w:t>
        <w:tab/>
        <w:t>N. ulnaris sin. (m. abd. dig. V): амплитуда М-ответа 8,79 мВ – норма (N &gt; 6.0 мВ) – в дистальной точке стимуляции, в проксимальной точке стимуляции 6,17 мВ – в области локтевого сустава. +</w:t>
        <w:br/>
        <w:t>М-ответ деформирован. Скорость распространения возбуждения (СРВ) на: предплечье 55 м/с – норма (норма более 40 м/с). Резидуальная латентность 1,33 мс – норма (N &lt; 2,5 мс). +</w:t>
        <w:br/>
        <w:t>Порог вызывания М-ответа не изменен. +</w:t>
        <w:br/>
        <w:t>F-волны – вызываются латентным периодом 30,97 мс, выпадений 10%.</w:t>
      </w:r>
    </w:p>
    <w:p>
      <w:pPr>
        <w:spacing w:after="58"/>
      </w:pPr>
      <w:r>
        <w:rPr>
          <w:b w:val="0"/>
          <w:i w:val="0"/>
        </w:rPr>
        <w:t>2.</w:t>
        <w:tab/>
        <w:t>N. medianus sin. (m. abd. pol. br.): амплитуда М-ответа 3,77 мВ - в дистальной точке стимуляции (N &gt; 3,5 мВ), 3,5 мВ - в проксимальной точке стимуляции. М-ответ не изменен. +</w:t>
        <w:br/>
        <w:t>Скорость распространения возбуждения (СРВ) на: предплечье 55 м/с – норма. +</w:t>
        <w:br/>
        <w:t>Резидуальная латентность 2,4 мс - норма (N &lt; 2,5 мс). Порог вызывания М-ответа не повышен. +</w:t>
        <w:br/>
        <w:t>F-волны – вызываются с латентностью 30,8 мс, выпадений нет, гигантских ответов нет.</w:t>
        <w:br/>
        <w:t>3.</w:t>
        <w:tab/>
        <w:t>СРВ по чувствительным волокнам N. ulnaris snt. – 41 м/с (норма  более 40 м/с), ПД 570 мВ – повышен.</w:t>
        <w:br/>
        <w:t>4.</w:t>
        <w:tab/>
        <w:t>СРВ по чувствительным волокнам N. medianus snt. – 39,4 м/с (норма  более 40 м/с), ПД 10 мкВ (норма).</w:t>
      </w:r>
    </w:p>
    <w:p>
      <w:pPr>
        <w:spacing w:after="58"/>
      </w:pPr>
      <w:r>
        <w:rPr>
          <w:b w:val="0"/>
          <w:i w:val="0"/>
        </w:rPr>
        <w:t>*Заключение:*</w:t>
      </w:r>
    </w:p>
    <w:p>
      <w:pPr>
        <w:spacing w:after="58"/>
      </w:pPr>
      <w:r>
        <w:rPr>
          <w:b w:val="0"/>
          <w:i w:val="0"/>
        </w:rPr>
        <w:t>1. По данным стимуляционной ЭНМГ скорость проведения возбуждения по моторным и сенсорным волокнам N. medianus sin., N. ulnaris sin. изменена.</w:t>
        <w:br/>
        <w:t>2. Блоков проведения нет.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Исходя из вышеуказанных данных можно установить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Легкая форма интоксикации свинцом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Профессиональная интоксикация свинцом средней степени тяжести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Начальная форма интоксикации свинцом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Хроническая профессиональная интоксикации свинцом выраженная стадия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Хроническая профессиональная интоксикации свинцом выраженная стадия</w:t>
      </w:r>
    </w:p>
    <w:p>
      <w:pPr>
        <w:ind w:left="504"/>
      </w:pPr>
      <w:r>
        <w:rPr>
          <w:b w:val="0"/>
          <w:i/>
        </w:rPr>
        <w:t>…система крови является наиболее чувствительной к воздействию свинца, а потому изменениям со стороны других систем и органов обычно, как правило, сопутствуют характерные гематологические сдвиги (ретикулоцитоз, базофильно-зернистые эритроциты, падение процента гемоглобина), а также порфиринурия.</w:t>
        <w:br/>
        <w:br/>
        <w:t>Диагностические критериизависят от ведущих клинических синдромов, длительного стажа работы в условиях работы с токсическими соединениями свинца в концентрациях, превышающих ПДК</w:t>
        <w:br/>
        <w:br/>
        <w:t>Выраженная форма. Характеризуется развитием анемического синдрома, свинцовой колики, значительными расстройствами нервной системы (выраженные формы астенического, астеновегетативного синдромов, полиневропатии и энцефалопатии), признаками токсического Изменения порфиринового превышает 190 мкмоль/г креатинина, КП – 770 н/моль г креатинина. Ретикулоцитоз более 40 /00, количество базофильно-зернистых эритроцитов более 60 гипохромного или нормохромного характера со снижением уровня гемоглобина у мужчин ниже 120 г/л и у женщин ниже 110 г/л. Содержание свинца в крови превышает 80 мкг% или 0,38 мкмоль%.</w:t>
        <w:br/>
        <w:br/>
        <w:t>Перечень профессиональных заболеваний (Приказ Министерства здравоохранения и социального развития РФ от 27 апреля 2012 г. N 417н "Об утверждении перечня профессиональных заболеваний")</w:t>
        <w:br/>
        <w:br/>
      </w:r>
      <w:hyperlink r:id="rId11">
        <w:r>
          <w:rPr>
            <w:color w:val="0F766E"/>
            <w:u w:val="single"/>
          </w:rPr>
          <w:t>https://legalacts.ru/doc/prikaz-minzdravsotsrazvitija-rossii-ot-27042012-n-417n/</w:t>
        </w:r>
      </w:hyperlink>
      <w:r>
        <w:rPr>
          <w:b w:val="0"/>
          <w:i/>
        </w:rPr>
        <w:br/>
        <w:br/>
        <w:t>Измеров И.Ф., Профессиональная патология [Электронный ресурс] : национальное руководство / Под ред. И.Ф. Измерова. - М. : ГЭОТАР-Медиа, 2011. - 784 с. - ISBN 978-5-9704-1947-2 - Режим доступа:</w:t>
        <w:br/>
        <w:br/>
      </w:r>
      <w:hyperlink r:id="rId12">
        <w:r>
          <w:rPr>
            <w:color w:val="0F766E"/>
            <w:u w:val="single"/>
          </w:rPr>
          <w:t>https://www.rosmedlib.ru/book/ISBN9785970419472.html</w:t>
        </w:r>
      </w:hyperlink>
      <w:r>
        <w:rPr>
          <w:b w:val="0"/>
          <w:i/>
        </w:rPr>
        <w:br/>
        <w:br/>
        <w:t>Профессиональные болезни. Учебник Глава 2. Интоксикации свинцом и его соединениями / В.Г. Артамонова, Н.А.Мухин - М.:Медицина, 2004 -497 с</w:t>
        <w:br/>
        <w:br/>
        <w:t>Профессиональные болезни: учебное пособие для вузов / В. В. Косарев, В. С. Лотков, С. А. Бабанов. - М. : ГЭОТАР-Медиа, 2008. - 160 с.</w:t>
        <w:br/>
        <w:br/>
        <w:t>Раздел четвертый. Профессиональные заболевания от воздействия химических факторов. Глава 12. Интоксикации металлами и химическими веществами в промышленности, стр. 94-96</w:t>
        <w:br/>
        <w:br/>
      </w:r>
      <w:hyperlink r:id="rId13">
        <w:r>
          <w:rPr>
            <w:color w:val="0F766E"/>
            <w:u w:val="single"/>
          </w:rPr>
          <w:t>http://vip-doctors.ru/prof_bol/prof_otr_svinec.php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http://www.rosmedlib.ru/book/ISBN9785970442999.html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Хроническая профессиональная интоксикации свинцом выраженная стадия</w:t>
      </w:r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Необходимым условем дляразвития хронической свинцовой интоксикации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наличие аллергии в анамнезе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генетической предрасположенности к сахарному диабету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работа в контакте со свинцом, превышающим ПДК в воздухе рабочей зоны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контакта с инфекционными больными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работа в контакте со свинцом, превышающим ПДК в воздухе рабочей зоны</w:t>
      </w:r>
    </w:p>
    <w:p>
      <w:pPr>
        <w:ind w:left="504"/>
      </w:pPr>
      <w:r>
        <w:rPr>
          <w:b w:val="0"/>
          <w:i/>
        </w:rPr>
        <w:t>Свинец и многие его соединения используются в промышленности для изготовления некоторых сплавов (типографские, баббиты, латунь), аккумуляторов, припоев, химической аппаратуры, защитных средств от ионизирующего излучения, в производстве хрусталя, а также в качестве красок (свинцовые белила, свинцовый сурик), глазури для гончарных изделий и др.</w:t>
        <w:br/>
        <w:br/>
        <w:t>Интоксикации свинцом возможны главным образом в производственных условиях. Однако встречаются случаи интоксикаций свинцом в быту при употреблении пищевых продуктов, долгое время хранившихся в керамической посуде, покрытой изнутри свинцовой глазурью.</w:t>
        <w:br/>
        <w:br/>
        <w:t>Профессиональные болезни. Глава 2. [Электронный ресурс] / под ред. В.Г. Артамоновоцй, Н. А. Мухина - М. : ГЭОТАР-Медиа, 2004.</w:t>
        <w:br/>
        <w:br/>
      </w:r>
      <w:hyperlink r:id="rId9">
        <w:r>
          <w:rPr>
            <w:color w:val="0F766E"/>
            <w:u w:val="single"/>
          </w:rPr>
          <w:t>https://www.booksmed.com/terapiya/96-professionalnye-bolezni-artamonova-muxin.html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Профпатолог не смог предположить диагноз острой интоксикации свинцом потму, что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 работника небольшой стаж работы в условиях воздейстия свинца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 пациента не достаточно данных лабораторных анализов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острой интоксикации свинцом не бывает в силу особенностей патогенеза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 работника был длительный стаж работы в условиях воздействия свинца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острой интоксикации свинцом не бывает в силу особенностей патогенеза</w:t>
      </w:r>
    </w:p>
    <w:p>
      <w:pPr>
        <w:ind w:left="504"/>
      </w:pPr>
      <w:r>
        <w:rPr>
          <w:b w:val="0"/>
          <w:i/>
        </w:rPr>
        <w:t>Свинец обладает кумулятивным эффектом и проявления интоксикацию возникают только после накопления его в организме и воздействии его на органы мишени, вызывая хронические поражения</w:t>
        <w:br/>
        <w:br/>
        <w:t>Мухин Н. А., Профессиональные болезни. Глава 7 [Электронный ресурс] / под ред. Н. А. Мухина, С. А. Бабанова - М. : ГЭОТАР-Медиа, 2018. - 576 с. - ISBN 978-5-9704-4299-9 - Режим доступа:</w:t>
        <w:br/>
        <w:br/>
      </w:r>
      <w:hyperlink r:id="rId15">
        <w:r>
          <w:rPr>
            <w:color w:val="0F766E"/>
            <w:u w:val="single"/>
          </w:rPr>
          <w:t>https://www.rosmedlib.ru/book/ISBN9785970442999.html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Свинец может поступать в организм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транскутанно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перорально, транскутанно, ингаляционно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перорально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перорально, транскутанно, ингаляционно</w:t>
      </w:r>
    </w:p>
    <w:p>
      <w:pPr>
        <w:ind w:left="504"/>
      </w:pPr>
      <w:r>
        <w:rPr>
          <w:b w:val="0"/>
          <w:i/>
        </w:rPr>
        <w:t>Пути поступления свинца в организм, основной – ингаляционный, реже – желудочно-кишечный тракт, еще реже – кожные покровы. Через органы дыхания свинец наиболее часто поступает в виде пыли, аэрозолей и паров (всасывается 10-30%). В желудочно-кишечный тракт свинец поступает при несоблюдении правил личной гигиены (всасывается 5-10%)</w:t>
        <w:br/>
        <w:br/>
        <w:t>Мухин Н. А., Профессиональные болезни. Глава 7 [Электронный ресурс] / под ред. Н. А. Мухина, С. А. Бабанова - М. : ГЭОТАР-Медиа, 2018. - 576 с. - ISBN 978-5-9704-4299-9 - Режим доступа:</w:t>
        <w:br/>
        <w:br/>
      </w:r>
      <w:hyperlink r:id="rId15">
        <w:r>
          <w:rPr>
            <w:color w:val="0F766E"/>
            <w:u w:val="single"/>
          </w:rPr>
          <w:t>https://www.rosmedlib.ru/book/ISBN9785970442999.html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Свинец используется в промышленности при изготовлении сплавов баббитов, латуни, аккумуляторов, припоев, химической аппаратуры, защитных средств от ионизирующего излучения, в производстве хрусталя, а также в качестве красок (свинцовые белила, свинцовый сурик)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вспомогательных веществ при обрубке металлов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глазури для гончарных изделий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строительных материалов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сплава при газоэлектросварке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глазури для гончарных изделий</w:t>
      </w:r>
    </w:p>
    <w:p>
      <w:pPr>
        <w:ind w:left="504"/>
      </w:pPr>
      <w:r>
        <w:rPr>
          <w:b w:val="0"/>
          <w:i/>
        </w:rPr>
        <w:t>Свинец и его соединения используются в промышленности для изготовления некоторых сплавов (баббиты, латунь), аккумуляторов, припоев, химической аппаратуры, защитных средств от ионизирующего излучения, в производстве хрусталя, а также в качестве красок (свинцовые белила, свинцовый сурик),</w:t>
        <w:br/>
        <w:br/>
        <w:t>Мухин Н. А., Профессиональные болезни. Глава 7 [Электронный ресурс] / под ред. Н. А. Мухина, С. А. Бабанова - М. : ГЭОТАР-Медиа, 2018. - 576 с. - ISBN 978-5-9704-4299-9 - Режим доступа:</w:t>
        <w:br/>
        <w:br/>
      </w:r>
      <w:hyperlink r:id="rId15">
        <w:r>
          <w:rPr>
            <w:color w:val="0F766E"/>
            <w:u w:val="single"/>
          </w:rPr>
          <w:t>https://www.rosmedlib.ru/book/ISBN9785970442999.html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Профилактика свинцовой интоксикации может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предварительной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двухэтапной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первичной, вторичной и третичной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предупредительной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первичной, вторичной и третичной</w:t>
      </w:r>
    </w:p>
    <w:p>
      <w:pPr>
        <w:ind w:left="504"/>
      </w:pPr>
      <w:r>
        <w:rPr>
          <w:b w:val="0"/>
          <w:i/>
        </w:rPr>
        <w:t>Профилактические мероприятия:</w:t>
        <w:br/>
        <w:br/>
        <w:t>Первичная профилактика:</w:t>
        <w:br/>
        <w:br/>
        <w:t>* устранение этиологических факторов - пылеподавление, обеспечение индивидуальными средствами защиты согласно действующих нормативно-правовых актов в области безопасности и охраны труда на предприятиях свинцовой промышленности;</w:t>
        <w:br/>
        <w:br/>
        <w:t>* своевременное и качественное проведение предварительных и периодических медицинских осмотров согласно регламентируемым приказам].</w:t>
        <w:br/>
        <w:br/>
        <w:t>Вторичная профилактика:</w:t>
        <w:br/>
        <w:br/>
        <w:t>* лечебно-профилактическое питание - прием столовой минеральной воды, повышает эффективность естественных механизмов детоксикации и элиминации, повышает функциональные резервы организма на всех уровнях;</w:t>
        <w:br/>
        <w:br/>
        <w:t>* прием поливитаминов с целью обезвреживания свободных радикалов и очищения организма от их отрицательного действия, а так же для дополнительного обогащения рационов питания;</w:t>
        <w:br/>
        <w:br/>
        <w:t>* санаторно-курортное лечение в регионах с сухим теплым воздухом;</w:t>
        <w:br/>
        <w:br/>
        <w:t>* ЛФК, дыхательная гимнастика, массаж конечностей, направленные на снятие болевого синдрома;</w:t>
        <w:br/>
        <w:br/>
        <w:t>Третичная профилактика</w:t>
        <w:br/>
        <w:br/>
        <w:t>* профилактика осложненений заболевания</w:t>
        <w:br/>
        <w:br/>
        <w:t>Мухин Н. А., Профессиональные болезни. Глава 7 [Электронный ресурс] / под ред. Н. А. Мухина, С. А. Бабанова - М. : ГЭОТАР-Медиа, 2018. - 576 с. - ISBN 978-5-9704-4299-9 - Режим доступа:</w:t>
        <w:br/>
        <w:br/>
      </w:r>
      <w:hyperlink r:id="rId15">
        <w:r>
          <w:rPr>
            <w:color w:val="0F766E"/>
            <w:u w:val="single"/>
          </w:rPr>
          <w:t>https://www.rosmedlib.ru/book/ISBN9785970442999.html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Индикатором полной эффективности лечения хронической свинцовой интоксикации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улучшение качества жизни, нормализация клинико-лабораторных и функциональных показателей, купирование болевого синдрома (при наличии), стабилизация гемодинамики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нормализация клинико-лабораторных и способность отвечать на психологические тесты, улучшение функции внешнего дыхания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стабилизация гемодинамики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купирование болевого синдрома (при наличии)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улучшение качества жизни, нормализация клинико-лабораторных и функциональных показателей, купирование болевого синдрома (при наличии), стабилизация гемодинамики</w:t>
      </w:r>
    </w:p>
    <w:p>
      <w:pPr>
        <w:ind w:left="504"/>
      </w:pPr>
      <w:r>
        <w:rPr>
          <w:b w:val="0"/>
          <w:i/>
        </w:rPr>
        <w:t>Улучшение качества жизни, нормализация клинико-лабораторных и функциональных показателей, купирование болевого синдрома (при наличии), стабилизация гемодинамики являются индикаторами эффективности проведенных лечебных мероприятий.</w:t>
        <w:br/>
        <w:br/>
        <w:t>Мухин Н. А., Профессиональные болезни. Глава 7 [Электронный ресурс] / под ред. Н. А. Мухина, С. А. Бабанова - М. : ГЭОТАР-Медиа, 2018. - 576 с. - ISBN 978-5-9704-4299-9 - Режим доступа:</w:t>
        <w:br/>
        <w:br/>
      </w:r>
      <w:hyperlink r:id="rId15">
        <w:r>
          <w:rPr>
            <w:color w:val="0F766E"/>
            <w:u w:val="single"/>
          </w:rPr>
          <w:t>https://www.rosmedlib.ru/book/ISBN9785970442999.html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Наиболее правильным решением врачебной комиссии в отношении вопроса экспертизы трудоспособности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возврат на работу после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направление на бюро медико - социальной экспертизы для решения экспертных вопросов (для определения I группы инвалидности профессионального характера)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направление на бюро медико - социальной экспертизы для решения экспертных вопросов (для определения группы инвалидности профессионального характера)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переквалификация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направление на бюро медико - социальной экспертизы для решения экспертных вопросов (для определения группы инвалидности профессионального характера)</w:t>
      </w:r>
    </w:p>
    <w:p>
      <w:pPr>
        <w:ind w:left="504"/>
      </w:pPr>
      <w:r>
        <w:rPr>
          <w:b w:val="0"/>
          <w:i/>
        </w:rPr>
        <w:t>Выраженная форма– длительное лечение в стационаре («выделительная» и общеукрепляющая терапия) + полное отстранение от работ, связанных с применением свинца</w:t>
        <w:br/>
        <w:br/>
      </w:r>
      <w:hyperlink r:id="rId16">
        <w:r>
          <w:rPr>
            <w:color w:val="0F766E"/>
            <w:u w:val="single"/>
          </w:rPr>
          <w:t>https://uchenie.net/93-professionalnaya-intoksikaciya-svincom/</w:t>
        </w:r>
      </w:hyperlink>
      <w:r>
        <w:rPr>
          <w:b w:val="0"/>
          <w:i/>
        </w:rPr>
        <w:br/>
        <w:br/>
        <w:t>При интоксикации тяжелой степени необходима госпитализация с лечением и прекращение контакта со свинцом и другими токсическими веществами. Пенсионирование осуществляется в зависимости от степени снижения трудоспособности по Соответствующей группе профессиональной инвалидности; лица, перенесшие выраженный полиневрит или энцефалопатию- инвалиды II группы. Показаниями к длительному переводу на другую работу с переводом на инвалидность являются: рецидивирующая свинцовая анемия и колика, свинцовые полиневриты и энцефалопатия, выраженный токсический гепатит с нарушением функциональной способности печени, свинцовый церебральный артериосклероз и легкие, но часто повторяющиеся свинцовые интоксикации.</w:t>
        <w:br/>
        <w:br/>
      </w:r>
      <w:hyperlink r:id="rId17">
        <w:r>
          <w:rPr>
            <w:color w:val="0F766E"/>
            <w:u w:val="single"/>
          </w:rPr>
          <w:t>http://www.matrixplus.ru/zprofmed-011.htm</w:t>
        </w:r>
      </w:hyperlink>
      <w:r>
        <w:rPr>
          <w:b w:val="0"/>
          <w:i/>
        </w:rPr>
        <w:br/>
        <w:br/>
        <w:t xml:space="preserve">Измеров И.Ф., Профессиональная патология [Электронный ресурс] : национальное руководство / Под ред. И.Ф. Измерова. - М. : ГЭОТАР-Медиа, 2011. - 784 с. - ISBN 978-5-9704-1947-2 - Режим доступа: </w:t>
      </w:r>
      <w:hyperlink r:id="rId12">
        <w:r>
          <w:rPr>
            <w:color w:val="0F766E"/>
            <w:u w:val="single"/>
          </w:rPr>
          <w:t>https://www.rosmedlib.ru/book/ISBN9785970419472.html</w:t>
        </w:r>
      </w:hyperlink>
      <w:r>
        <w:rPr>
          <w:b w:val="0"/>
          <w:i/>
        </w:rPr>
        <w:br/>
        <w:br/>
        <w:t>Профессиональные болезни. Глава 2. [Электронный ресурс] / под ред. В.Г. Артамоновоцй, Н. А. Мухина - М. : ГЭОТАР-Медиа, 2004.</w:t>
        <w:br/>
        <w:br/>
      </w:r>
      <w:hyperlink r:id="rId9">
        <w:r>
          <w:rPr>
            <w:color w:val="0F766E"/>
            <w:u w:val="single"/>
          </w:rPr>
          <w:t>https://www.booksmed.com/terapiya/96-professionalnye-bolezni-artamonova-muxin.html</w:t>
        </w:r>
      </w:hyperlink>
    </w:p>
    <w:p>
      <w:pPr>
        <w:pStyle w:val="Heading2"/>
      </w:pPr>
      <w:r>
        <w:t>4. Лечение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Лечение хронической свинцовой интоксикации включает применение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витаминов группы 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5% - ного раствора унитиола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раствора Д - пеницилламина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10% раствора тетацина кальция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10% раствора тетацина кальция</w:t>
      </w:r>
    </w:p>
    <w:p>
      <w:pPr>
        <w:ind w:left="504"/>
      </w:pPr>
      <w:r>
        <w:rPr>
          <w:b w:val="0"/>
          <w:i/>
        </w:rPr>
        <w:t>Лечение хронической свинцовой интоксикации включает применение: Tetacinum-calcium; син.:Natrii calcii ecletas, Sodium calcium edetate, Chelaton, EDTA, Edatacalи др.) — комплексообразующее средство. применяютдля лечения острых и хрон. отравлений свинцом. Взрослым внутривенно (капельно) вводят по 10-—20 мл 10% р-ра в 250—500 мл изотонического р-ра натрия хлорида или 5% р-ра глюкозы 2 раза в день с промежутком между вливаниями не менее 3 часов. Вводят ежедневно в течение 3—4 дней с перерывами по 3—4 дня. Курс лечения 1 мес.</w:t>
        <w:br/>
        <w:br/>
        <w:t xml:space="preserve">Измеров И.Ф., Профессиональная патология [Электронный ресурс] : национальное руководство / Под ред. И.Ф. Измерова. - М. : ГЭОТАР-Медиа, 2011. - 784 с. - ISBN 978-5-9704-1947-2 - Режим доступа: </w:t>
      </w:r>
      <w:hyperlink r:id="rId12">
        <w:r>
          <w:rPr>
            <w:color w:val="0F766E"/>
            <w:u w:val="single"/>
          </w:rPr>
          <w:t>https://www.rosmedlib.ru/book/ISBN9785970419472.html</w:t>
        </w:r>
      </w:hyperlink>
      <w:r>
        <w:rPr>
          <w:b w:val="0"/>
          <w:i/>
        </w:rPr>
        <w:br/>
        <w:br/>
        <w:t>Профессиональные болезни. Учебник / В.Г. Артамонова, Н.А. Мухин - М.:Медицина, 2004 -497 с</w:t>
        <w:br/>
        <w:br/>
        <w:t>Профессиональные болезни: учебное пособие для вузов / В. В. Косарев, В. С. Лотков, С. А. Бабанов. - М. : ГЭОТАР-Медиа, 2008. -</w:t>
        <w:br/>
        <w:br/>
      </w:r>
      <w:hyperlink r:id="rId14">
        <w:r>
          <w:rPr>
            <w:color w:val="0F766E"/>
            <w:u w:val="single"/>
          </w:rPr>
          <w:t>http://www.rosmedlib.ru/book/ISBN9785970442999.html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профилактики свинцовой интоксикации на производстве рекомендуется пылеподавление, обеспечение индивидуальными средствами защиты, прохождение сотрудниками периодических медицинских осмотров, прием минеральной воды и прием лечебно-профилактического питания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содержащего пектины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содержащего жиры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содержащего лактозу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исключающего глютен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содержащего пектины</w:t>
      </w:r>
    </w:p>
    <w:p>
      <w:pPr>
        <w:ind w:left="504"/>
      </w:pPr>
      <w:r>
        <w:rPr>
          <w:b w:val="0"/>
          <w:i/>
        </w:rPr>
        <w:t>Профилактика:</w:t>
        <w:br/>
        <w:br/>
        <w:t>* устранение этиологических факторов - пылеподавление, обеспечение индивидуальными средствами защиты согласно действующих нормативно-правовых актов в области безопасности и охраны труда на предприятиях свинцовой промышленности;</w:t>
        <w:br/>
        <w:br/>
        <w:t>* своевременное и качественное проведение предварительных и периодических медицинских осмотров согласно регламентируемым приказам;</w:t>
        <w:br/>
        <w:br/>
        <w:t>* лечебно-профилактическое питание - прием столовой минеральной воды, повышает эффективность естественных механизмов детоксикации и элиминации, повышает функциональные резервы организма на всех уровнях;</w:t>
        <w:br/>
        <w:br/>
        <w:t>* прием лечебно-профилактического питания, содержащего пектины· прием поливитаминов с целью обезвреживания свободных радикалов и очищения организма от их отрицательного действия, а так же для дополнительного обогащения рационов питания</w:t>
        <w:br/>
        <w:br/>
        <w:t>Измеров И.Ф., Профессиональная патология [Электронный ресурс] : национальное руководство / Под ред. И.Ф. Измерова. - М. : ГЭОТАР-Медиа, 2011. - 784 с. - ISBN 978-5-9704-1947-2 - Режим доступа:</w:t>
        <w:br/>
        <w:br/>
      </w:r>
      <w:hyperlink r:id="rId12">
        <w:r>
          <w:rPr>
            <w:color w:val="0F766E"/>
            <w:u w:val="single"/>
          </w:rPr>
          <w:t>https://www.rosmedlib.ru/book/ISBN9785970419472.html</w:t>
        </w:r>
      </w:hyperlink>
      <w:r>
        <w:rPr>
          <w:b w:val="0"/>
          <w:i/>
        </w:rPr>
        <w:br/>
        <w:br/>
        <w:t>Профессиональные болезни. Учебник . Глава 2/ В.Г. Артамонова, Н.А.Мухин - М.:Медицина, 2004 -497 с. Профессиональные болезни. Глава 2. [Электронный ресурс] / под ред. В.Г. Артамоновоцй, Н. А. Мухина - М. : ГЭОТАР-Медиа, 2004.</w:t>
        <w:br/>
        <w:br/>
      </w:r>
      <w:hyperlink r:id="rId9">
        <w:r>
          <w:rPr>
            <w:color w:val="0F766E"/>
            <w:u w:val="single"/>
          </w:rPr>
          <w:t>https://www.booksmed.com/terapiya/96-professionalnye-bolezni-artamonova-muxin.html</w:t>
        </w:r>
      </w:hyperlink>
      <w:r>
        <w:rPr>
          <w:b w:val="0"/>
          <w:i/>
        </w:rPr>
        <w:br/>
        <w:br/>
        <w:t>Профессиональные болезни: учебное пособие для вузов / В. В. Косарев, В. С. Лотков, С. А. Бабанов. - М. : ГЭОТАР-Медиа, 2008. -</w:t>
        <w:br/>
        <w:br/>
      </w:r>
      <w:hyperlink r:id="rId14">
        <w:r>
          <w:rPr>
            <w:color w:val="0F766E"/>
            <w:u w:val="single"/>
          </w:rPr>
          <w:t>http://www.rosmedlib.ru/book/ISBN9785970442999.html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oksmed.com/terapiya/96-professionalnye-bolezni-artamonova-muxin.html" TargetMode="External"/><Relationship Id="rId10" Type="http://schemas.openxmlformats.org/officeDocument/2006/relationships/hyperlink" Target="https://vrachirf.ru/storage/7b/da/77/de/e9/76/4a/ad/4bd3-f6593c-6116cd.pdf" TargetMode="External"/><Relationship Id="rId11" Type="http://schemas.openxmlformats.org/officeDocument/2006/relationships/hyperlink" Target="https://legalacts.ru/doc/prikaz-minzdravsotsrazvitija-rossii-ot-27042012-n-417n/" TargetMode="External"/><Relationship Id="rId12" Type="http://schemas.openxmlformats.org/officeDocument/2006/relationships/hyperlink" Target="https://www.rosmedlib.ru/book/ISBN9785970419472.html" TargetMode="External"/><Relationship Id="rId13" Type="http://schemas.openxmlformats.org/officeDocument/2006/relationships/hyperlink" Target="http://vip-doctors.ru/prof_bol/prof_otr_svinec.php" TargetMode="External"/><Relationship Id="rId14" Type="http://schemas.openxmlformats.org/officeDocument/2006/relationships/hyperlink" Target="http://www.rosmedlib.ru/book/ISBN9785970442999.html" TargetMode="External"/><Relationship Id="rId15" Type="http://schemas.openxmlformats.org/officeDocument/2006/relationships/hyperlink" Target="https://www.rosmedlib.ru/book/ISBN9785970442999.html" TargetMode="External"/><Relationship Id="rId16" Type="http://schemas.openxmlformats.org/officeDocument/2006/relationships/hyperlink" Target="https://uchenie.net/93-professionalnaya-intoksikaciya-svincom/" TargetMode="External"/><Relationship Id="rId17" Type="http://schemas.openxmlformats.org/officeDocument/2006/relationships/hyperlink" Target="http://www.matrixplus.ru/zprofmed-01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